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9CEF9" w14:textId="77777777" w:rsidR="002C02FF" w:rsidRPr="002C02FF" w:rsidRDefault="002C02FF" w:rsidP="002C02FF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8506AB"/>
          <w:spacing w:val="3"/>
          <w:sz w:val="24"/>
          <w:szCs w:val="24"/>
          <w:lang w:eastAsia="ru-RU"/>
        </w:rPr>
      </w:pPr>
      <w:r w:rsidRPr="002C02FF">
        <w:rPr>
          <w:rFonts w:ascii="Roboto" w:eastAsia="Times New Roman" w:hAnsi="Roboto" w:cs="Times New Roman"/>
          <w:b/>
          <w:bCs/>
          <w:color w:val="8506AB"/>
          <w:spacing w:val="3"/>
          <w:sz w:val="24"/>
          <w:szCs w:val="24"/>
          <w:lang w:eastAsia="ru-RU"/>
        </w:rPr>
        <w:t>Отчет</w:t>
      </w:r>
    </w:p>
    <w:p w14:paraId="0F55FB6E" w14:textId="77777777" w:rsidR="002C02FF" w:rsidRPr="002C02FF" w:rsidRDefault="002C02FF" w:rsidP="002C02FF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8506AB"/>
          <w:spacing w:val="3"/>
          <w:sz w:val="24"/>
          <w:szCs w:val="24"/>
          <w:lang w:eastAsia="ru-RU"/>
        </w:rPr>
      </w:pPr>
      <w:r w:rsidRPr="002C02FF">
        <w:rPr>
          <w:rFonts w:ascii="Roboto" w:eastAsia="Times New Roman" w:hAnsi="Roboto" w:cs="Times New Roman"/>
          <w:b/>
          <w:bCs/>
          <w:color w:val="8506AB"/>
          <w:spacing w:val="3"/>
          <w:sz w:val="24"/>
          <w:szCs w:val="24"/>
          <w:lang w:eastAsia="ru-RU"/>
        </w:rPr>
        <w:t> о деятельности Агентства по защите депозитов</w:t>
      </w:r>
    </w:p>
    <w:p w14:paraId="709B5DAF" w14:textId="77777777" w:rsidR="002C02FF" w:rsidRPr="002C02FF" w:rsidRDefault="002C02FF" w:rsidP="002C02FF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8506AB"/>
          <w:spacing w:val="3"/>
          <w:sz w:val="24"/>
          <w:szCs w:val="24"/>
          <w:lang w:eastAsia="ru-RU"/>
        </w:rPr>
      </w:pPr>
      <w:r w:rsidRPr="002C02FF">
        <w:rPr>
          <w:rFonts w:ascii="Roboto" w:eastAsia="Times New Roman" w:hAnsi="Roboto" w:cs="Times New Roman"/>
          <w:b/>
          <w:bCs/>
          <w:color w:val="8506AB"/>
          <w:spacing w:val="3"/>
          <w:sz w:val="24"/>
          <w:szCs w:val="24"/>
          <w:lang w:eastAsia="ru-RU"/>
        </w:rPr>
        <w:t>Кыргызской Республики за 2022 год</w:t>
      </w:r>
    </w:p>
    <w:p w14:paraId="136601A8" w14:textId="77777777" w:rsidR="002C02FF" w:rsidRPr="002C02FF" w:rsidRDefault="002C02FF" w:rsidP="002C02F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8506AB"/>
          <w:spacing w:val="3"/>
          <w:sz w:val="24"/>
          <w:szCs w:val="24"/>
          <w:lang w:eastAsia="ru-RU"/>
        </w:rPr>
      </w:pPr>
      <w:r w:rsidRPr="002C02FF">
        <w:rPr>
          <w:rFonts w:ascii="Roboto" w:eastAsia="Times New Roman" w:hAnsi="Roboto" w:cs="Times New Roman"/>
          <w:color w:val="8506AB"/>
          <w:spacing w:val="3"/>
          <w:sz w:val="24"/>
          <w:szCs w:val="24"/>
          <w:lang w:eastAsia="ru-RU"/>
        </w:rPr>
        <w:t>Годовой отчет Агентства по защите депозитов Кыргызской Республики подготовлен в соответствии со статьей 40 Закона Кыргызской Республики «О защите банковских вкладов (депозитов)».</w:t>
      </w:r>
    </w:p>
    <w:p w14:paraId="4B5A3FE8" w14:textId="77777777" w:rsidR="002C02FF" w:rsidRPr="002C02FF" w:rsidRDefault="002C02FF" w:rsidP="002C02F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8506AB"/>
          <w:spacing w:val="3"/>
          <w:sz w:val="24"/>
          <w:szCs w:val="24"/>
          <w:lang w:eastAsia="ru-RU"/>
        </w:rPr>
      </w:pPr>
      <w:r w:rsidRPr="002C02FF">
        <w:rPr>
          <w:rFonts w:ascii="Roboto" w:eastAsia="Times New Roman" w:hAnsi="Roboto" w:cs="Times New Roman"/>
          <w:color w:val="8506AB"/>
          <w:spacing w:val="3"/>
          <w:sz w:val="24"/>
          <w:szCs w:val="24"/>
          <w:lang w:eastAsia="ru-RU"/>
        </w:rPr>
        <w:t>Годовой отчет за 2022 год утвержден постановлением Совета директоров Агентства по защите депозитов Кыргызской Республики от 31 марта 2023 года №6.</w:t>
      </w:r>
    </w:p>
    <w:p w14:paraId="605271C2" w14:textId="77777777" w:rsidR="002C02FF" w:rsidRPr="002C02FF" w:rsidRDefault="002C02FF" w:rsidP="002C02F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8506AB"/>
          <w:spacing w:val="3"/>
          <w:sz w:val="24"/>
          <w:szCs w:val="24"/>
          <w:lang w:eastAsia="ru-RU"/>
        </w:rPr>
      </w:pPr>
      <w:r w:rsidRPr="002C02FF">
        <w:rPr>
          <w:rFonts w:ascii="Roboto" w:eastAsia="Times New Roman" w:hAnsi="Roboto" w:cs="Times New Roman"/>
          <w:color w:val="8506AB"/>
          <w:spacing w:val="3"/>
          <w:sz w:val="24"/>
          <w:szCs w:val="24"/>
          <w:lang w:eastAsia="ru-RU"/>
        </w:rPr>
        <w:t xml:space="preserve">Финансовая отчетность по состоянию на 31 декабря 2022 года подтверждена заключением независимой аудиторской компании </w:t>
      </w:r>
      <w:proofErr w:type="spellStart"/>
      <w:r w:rsidRPr="002C02FF">
        <w:rPr>
          <w:rFonts w:ascii="Roboto" w:eastAsia="Times New Roman" w:hAnsi="Roboto" w:cs="Times New Roman"/>
          <w:color w:val="8506AB"/>
          <w:spacing w:val="3"/>
          <w:sz w:val="24"/>
          <w:szCs w:val="24"/>
          <w:lang w:eastAsia="ru-RU"/>
        </w:rPr>
        <w:t>ОсОО</w:t>
      </w:r>
      <w:proofErr w:type="spellEnd"/>
      <w:r w:rsidRPr="002C02FF">
        <w:rPr>
          <w:rFonts w:ascii="Roboto" w:eastAsia="Times New Roman" w:hAnsi="Roboto" w:cs="Times New Roman"/>
          <w:color w:val="8506AB"/>
          <w:spacing w:val="3"/>
          <w:sz w:val="24"/>
          <w:szCs w:val="24"/>
          <w:lang w:eastAsia="ru-RU"/>
        </w:rPr>
        <w:t xml:space="preserve"> Грант Торнтон 21 февраля 2023 года.</w:t>
      </w:r>
    </w:p>
    <w:p w14:paraId="55E30E72" w14:textId="77777777" w:rsidR="002C02FF" w:rsidRPr="002C02FF" w:rsidRDefault="002C02FF" w:rsidP="002C02F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8506AB"/>
          <w:spacing w:val="3"/>
          <w:sz w:val="24"/>
          <w:szCs w:val="24"/>
          <w:lang w:eastAsia="ru-RU"/>
        </w:rPr>
      </w:pPr>
      <w:r w:rsidRPr="002C02FF">
        <w:rPr>
          <w:rFonts w:ascii="Roboto" w:eastAsia="Times New Roman" w:hAnsi="Roboto" w:cs="Times New Roman"/>
          <w:color w:val="8506AB"/>
          <w:spacing w:val="3"/>
          <w:sz w:val="24"/>
          <w:szCs w:val="24"/>
          <w:lang w:eastAsia="ru-RU"/>
        </w:rPr>
        <w:t>По всем вопросам, связанным с содержанием и распространением публикации, можно обратиться по адресу: город Бишкек, ул. Московская, 190, 1 этаж, Агентство по защите депозитов Кыргызской Республики.</w:t>
      </w:r>
    </w:p>
    <w:p w14:paraId="02AE05A2" w14:textId="77777777" w:rsidR="002C02FF" w:rsidRPr="002C02FF" w:rsidRDefault="002C02FF" w:rsidP="002C02F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8506AB"/>
          <w:spacing w:val="3"/>
          <w:sz w:val="24"/>
          <w:szCs w:val="24"/>
          <w:lang w:eastAsia="ru-RU"/>
        </w:rPr>
      </w:pPr>
      <w:r w:rsidRPr="002C02FF">
        <w:rPr>
          <w:rFonts w:ascii="Roboto" w:eastAsia="Times New Roman" w:hAnsi="Roboto" w:cs="Times New Roman"/>
          <w:b/>
          <w:bCs/>
          <w:color w:val="8506AB"/>
          <w:spacing w:val="3"/>
          <w:sz w:val="24"/>
          <w:szCs w:val="24"/>
          <w:lang w:eastAsia="ru-RU"/>
        </w:rPr>
        <w:t>         </w:t>
      </w:r>
      <w:r w:rsidRPr="002C02FF">
        <w:rPr>
          <w:rFonts w:ascii="Roboto" w:eastAsia="Times New Roman" w:hAnsi="Roboto" w:cs="Times New Roman"/>
          <w:color w:val="8506AB"/>
          <w:spacing w:val="3"/>
          <w:sz w:val="24"/>
          <w:szCs w:val="24"/>
          <w:lang w:eastAsia="ru-RU"/>
        </w:rPr>
        <w:t>Телефон: (+996 312) 456-456</w:t>
      </w:r>
    </w:p>
    <w:p w14:paraId="691ABFA3" w14:textId="77777777" w:rsidR="002C02FF" w:rsidRPr="002C02FF" w:rsidRDefault="002C02FF" w:rsidP="002C02F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8506AB"/>
          <w:spacing w:val="3"/>
          <w:sz w:val="24"/>
          <w:szCs w:val="24"/>
          <w:lang w:eastAsia="ru-RU"/>
        </w:rPr>
      </w:pPr>
      <w:r w:rsidRPr="002C02FF">
        <w:rPr>
          <w:rFonts w:ascii="Roboto" w:eastAsia="Times New Roman" w:hAnsi="Roboto" w:cs="Times New Roman"/>
          <w:color w:val="8506AB"/>
          <w:spacing w:val="3"/>
          <w:sz w:val="24"/>
          <w:szCs w:val="24"/>
          <w:lang w:eastAsia="ru-RU"/>
        </w:rPr>
        <w:t>         Факс: (+996 312) 455-527</w:t>
      </w:r>
    </w:p>
    <w:p w14:paraId="4236BB5D" w14:textId="77777777" w:rsidR="002C02FF" w:rsidRPr="002C02FF" w:rsidRDefault="002C02FF" w:rsidP="002C02F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8506AB"/>
          <w:spacing w:val="3"/>
          <w:sz w:val="24"/>
          <w:szCs w:val="24"/>
          <w:lang w:eastAsia="ru-RU"/>
        </w:rPr>
      </w:pPr>
      <w:r w:rsidRPr="002C02FF">
        <w:rPr>
          <w:rFonts w:ascii="Roboto" w:eastAsia="Times New Roman" w:hAnsi="Roboto" w:cs="Times New Roman"/>
          <w:color w:val="8506AB"/>
          <w:spacing w:val="3"/>
          <w:sz w:val="24"/>
          <w:szCs w:val="24"/>
          <w:lang w:eastAsia="ru-RU"/>
        </w:rPr>
        <w:t>         Электронная почта: deposit@old.deposit.kg</w:t>
      </w:r>
    </w:p>
    <w:p w14:paraId="48BEC5E3" w14:textId="77777777" w:rsidR="002C02FF" w:rsidRPr="002C02FF" w:rsidRDefault="002C02FF" w:rsidP="002C02F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8506AB"/>
          <w:spacing w:val="3"/>
          <w:sz w:val="24"/>
          <w:szCs w:val="24"/>
          <w:lang w:eastAsia="ru-RU"/>
        </w:rPr>
      </w:pPr>
      <w:r w:rsidRPr="002C02FF">
        <w:rPr>
          <w:rFonts w:ascii="Roboto" w:eastAsia="Times New Roman" w:hAnsi="Roboto" w:cs="Times New Roman"/>
          <w:color w:val="8506AB"/>
          <w:spacing w:val="3"/>
          <w:sz w:val="24"/>
          <w:szCs w:val="24"/>
          <w:lang w:eastAsia="ru-RU"/>
        </w:rPr>
        <w:t>         Веб-сайт: http//old.deposit.kg</w:t>
      </w:r>
    </w:p>
    <w:p w14:paraId="59BA6CE8" w14:textId="77777777" w:rsidR="002C02FF" w:rsidRPr="002C02FF" w:rsidRDefault="002C02FF" w:rsidP="002C02FF">
      <w:pPr>
        <w:shd w:val="clear" w:color="auto" w:fill="FFFFFF"/>
        <w:spacing w:before="300" w:after="108" w:line="264" w:lineRule="atLeast"/>
        <w:jc w:val="center"/>
        <w:outlineLvl w:val="2"/>
        <w:rPr>
          <w:rFonts w:ascii="Roboto" w:eastAsia="Times New Roman" w:hAnsi="Roboto" w:cs="Times New Roman"/>
          <w:b/>
          <w:bCs/>
          <w:color w:val="000000"/>
          <w:spacing w:val="10"/>
          <w:sz w:val="37"/>
          <w:szCs w:val="37"/>
          <w:lang w:eastAsia="ru-RU"/>
        </w:rPr>
      </w:pPr>
      <w:bookmarkStart w:id="0" w:name="_Toc132796003"/>
      <w:bookmarkEnd w:id="0"/>
      <w:r w:rsidRPr="002C02FF">
        <w:rPr>
          <w:rFonts w:ascii="Roboto" w:eastAsia="Times New Roman" w:hAnsi="Roboto" w:cs="Times New Roman"/>
          <w:b/>
          <w:bCs/>
          <w:color w:val="000000"/>
          <w:spacing w:val="10"/>
          <w:sz w:val="37"/>
          <w:szCs w:val="37"/>
          <w:lang w:eastAsia="ru-RU"/>
        </w:rPr>
        <w:t>Обращение руководства Агентства по защите депозитов</w:t>
      </w:r>
      <w:r w:rsidRPr="002C02FF">
        <w:rPr>
          <w:rFonts w:ascii="Roboto" w:eastAsia="Times New Roman" w:hAnsi="Roboto" w:cs="Times New Roman"/>
          <w:b/>
          <w:bCs/>
          <w:color w:val="000000"/>
          <w:spacing w:val="10"/>
          <w:sz w:val="37"/>
          <w:szCs w:val="37"/>
          <w:lang w:eastAsia="ru-RU"/>
        </w:rPr>
        <w:br/>
        <w:t>Кыргызской Республики</w:t>
      </w:r>
    </w:p>
    <w:p w14:paraId="5FF0D925" w14:textId="77777777" w:rsidR="002C02FF" w:rsidRPr="002C02FF" w:rsidRDefault="002C02FF" w:rsidP="002C02F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8506AB"/>
          <w:spacing w:val="3"/>
          <w:sz w:val="24"/>
          <w:szCs w:val="24"/>
          <w:lang w:eastAsia="ru-RU"/>
        </w:rPr>
      </w:pPr>
      <w:r w:rsidRPr="002C02FF">
        <w:rPr>
          <w:rFonts w:ascii="Roboto" w:eastAsia="Times New Roman" w:hAnsi="Roboto" w:cs="Times New Roman"/>
          <w:b/>
          <w:bCs/>
          <w:color w:val="8506AB"/>
          <w:spacing w:val="3"/>
          <w:sz w:val="24"/>
          <w:szCs w:val="24"/>
          <w:lang w:eastAsia="ru-RU"/>
        </w:rPr>
        <w:t> </w:t>
      </w:r>
    </w:p>
    <w:p w14:paraId="35C74A9E" w14:textId="77777777" w:rsidR="002C02FF" w:rsidRPr="002C02FF" w:rsidRDefault="002C02FF" w:rsidP="002C02F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8506AB"/>
          <w:spacing w:val="3"/>
          <w:sz w:val="24"/>
          <w:szCs w:val="24"/>
          <w:lang w:eastAsia="ru-RU"/>
        </w:rPr>
      </w:pPr>
      <w:r w:rsidRPr="002C02FF">
        <w:rPr>
          <w:rFonts w:ascii="Roboto" w:eastAsia="Times New Roman" w:hAnsi="Roboto" w:cs="Times New Roman"/>
          <w:b/>
          <w:bCs/>
          <w:color w:val="8506AB"/>
          <w:spacing w:val="3"/>
          <w:sz w:val="24"/>
          <w:szCs w:val="24"/>
          <w:lang w:eastAsia="ru-RU"/>
        </w:rPr>
        <w:t> </w:t>
      </w:r>
      <w:r w:rsidRPr="002C02FF">
        <w:rPr>
          <w:rFonts w:ascii="Roboto" w:eastAsia="Times New Roman" w:hAnsi="Roboto" w:cs="Times New Roman"/>
          <w:b/>
          <w:bCs/>
          <w:i/>
          <w:iCs/>
          <w:color w:val="8506AB"/>
          <w:spacing w:val="3"/>
          <w:sz w:val="24"/>
          <w:szCs w:val="24"/>
          <w:lang w:eastAsia="ru-RU"/>
        </w:rPr>
        <w:t>Уважаемые читатели!</w:t>
      </w:r>
    </w:p>
    <w:p w14:paraId="398651A3" w14:textId="77777777" w:rsidR="002C02FF" w:rsidRPr="002C02FF" w:rsidRDefault="002C02FF" w:rsidP="002C02F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8506AB"/>
          <w:spacing w:val="3"/>
          <w:sz w:val="24"/>
          <w:szCs w:val="24"/>
          <w:lang w:eastAsia="ru-RU"/>
        </w:rPr>
      </w:pPr>
      <w:r w:rsidRPr="002C02FF">
        <w:rPr>
          <w:rFonts w:ascii="Roboto" w:eastAsia="Times New Roman" w:hAnsi="Roboto" w:cs="Times New Roman"/>
          <w:color w:val="8506AB"/>
          <w:spacing w:val="3"/>
          <w:sz w:val="24"/>
          <w:szCs w:val="24"/>
          <w:lang w:eastAsia="ru-RU"/>
        </w:rPr>
        <w:t>Представляем Вашему вниманию годовой отчет по итогам деятельности Агентства по защите депозитов Кыргызской Республики (далее – Агентство) за 2022 год.</w:t>
      </w:r>
    </w:p>
    <w:p w14:paraId="70F6A391" w14:textId="77777777" w:rsidR="002C02FF" w:rsidRPr="002C02FF" w:rsidRDefault="002C02FF" w:rsidP="002C02F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8506AB"/>
          <w:spacing w:val="3"/>
          <w:sz w:val="24"/>
          <w:szCs w:val="24"/>
          <w:lang w:eastAsia="ru-RU"/>
        </w:rPr>
      </w:pPr>
      <w:r w:rsidRPr="002C02FF">
        <w:rPr>
          <w:rFonts w:ascii="Roboto" w:eastAsia="Times New Roman" w:hAnsi="Roboto" w:cs="Times New Roman"/>
          <w:color w:val="8506AB"/>
          <w:spacing w:val="3"/>
          <w:sz w:val="24"/>
          <w:szCs w:val="24"/>
          <w:lang w:eastAsia="ru-RU"/>
        </w:rPr>
        <w:t>В отчетном году Агентство осуществляло свою деятельность по управлению средствами Фонда защиты депозитов, расчету и сбору взносов от участников системы защиты депозитов, повышению осведомленности населения о системе защиты депозитов. Обеспечение надёжности системы защиты вкладов, и поддержание высокого уровня ликвидности Фонда защиты депозитов являются приоритетными направлениями в деятельности Агентства.</w:t>
      </w:r>
    </w:p>
    <w:p w14:paraId="40EDEB36" w14:textId="77777777" w:rsidR="002C02FF" w:rsidRPr="002C02FF" w:rsidRDefault="002C02FF" w:rsidP="002C02F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8506AB"/>
          <w:spacing w:val="3"/>
          <w:sz w:val="24"/>
          <w:szCs w:val="24"/>
          <w:lang w:eastAsia="ru-RU"/>
        </w:rPr>
      </w:pPr>
      <w:r w:rsidRPr="002C02FF">
        <w:rPr>
          <w:rFonts w:ascii="Roboto" w:eastAsia="Times New Roman" w:hAnsi="Roboto" w:cs="Times New Roman"/>
          <w:color w:val="8506AB"/>
          <w:spacing w:val="3"/>
          <w:sz w:val="24"/>
          <w:szCs w:val="24"/>
          <w:lang w:eastAsia="ru-RU"/>
        </w:rPr>
        <w:t xml:space="preserve">Проводились работы со странами Евразийского экономического союза (ЕАЭС) по гармонизации законодательства в сфере гарантирования банковских вкладов. В отчетном году в городе Бишкек проведено заседание Экспертной группы по вопросам гармонизации законодательства в сфере гарантирования банковских вкладов, ликвидации, финансового оздоровления и банкротства кредитных организаций на территории ЕАЭС при Консультативном комитете по финансовым </w:t>
      </w:r>
      <w:r w:rsidRPr="002C02FF">
        <w:rPr>
          <w:rFonts w:ascii="Roboto" w:eastAsia="Times New Roman" w:hAnsi="Roboto" w:cs="Times New Roman"/>
          <w:color w:val="8506AB"/>
          <w:spacing w:val="3"/>
          <w:sz w:val="24"/>
          <w:szCs w:val="24"/>
          <w:lang w:eastAsia="ru-RU"/>
        </w:rPr>
        <w:lastRenderedPageBreak/>
        <w:t>рынкам Евразийской экономической комиссии (ЕЭК). Также подписан меморандум о сотрудничестве с Фондом гарантирования вкладов граждан в банках Республики Узбекистан.</w:t>
      </w:r>
    </w:p>
    <w:p w14:paraId="02654213" w14:textId="77777777" w:rsidR="002C02FF" w:rsidRPr="002C02FF" w:rsidRDefault="002C02FF" w:rsidP="002C02F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8506AB"/>
          <w:spacing w:val="3"/>
          <w:sz w:val="24"/>
          <w:szCs w:val="24"/>
          <w:lang w:eastAsia="ru-RU"/>
        </w:rPr>
      </w:pPr>
      <w:r w:rsidRPr="002C02FF">
        <w:rPr>
          <w:rFonts w:ascii="Roboto" w:eastAsia="Times New Roman" w:hAnsi="Roboto" w:cs="Times New Roman"/>
          <w:color w:val="8506AB"/>
          <w:spacing w:val="3"/>
          <w:sz w:val="24"/>
          <w:szCs w:val="24"/>
          <w:lang w:eastAsia="ru-RU"/>
        </w:rPr>
        <w:t>Устойчивая динамика ежегодного прироста депозитов вкладчиков, а также рост Фонда защиты депозитов для обеспечения гарантирования вкладов, демонстрируют, что система защиты депозитов, на сегодняшний день, является одним из важных институтов финансово-кредитной системы и повышения доверия населения к финансово-кредитным организациям, а также содействует стабильности финансовой систем</w:t>
      </w:r>
    </w:p>
    <w:p w14:paraId="01A48303" w14:textId="77777777" w:rsidR="002C02FF" w:rsidRPr="002C02FF" w:rsidRDefault="002C02FF" w:rsidP="002C02F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8506AB"/>
          <w:spacing w:val="3"/>
          <w:sz w:val="24"/>
          <w:szCs w:val="24"/>
          <w:lang w:eastAsia="ru-RU"/>
        </w:rPr>
      </w:pPr>
      <w:r w:rsidRPr="002C02FF">
        <w:rPr>
          <w:rFonts w:ascii="Roboto" w:eastAsia="Times New Roman" w:hAnsi="Roboto" w:cs="Times New Roman"/>
          <w:color w:val="8506AB"/>
          <w:spacing w:val="3"/>
          <w:sz w:val="24"/>
          <w:szCs w:val="24"/>
          <w:lang w:eastAsia="ru-RU"/>
        </w:rPr>
        <w:t>ы Кыргызстана в целом.</w:t>
      </w:r>
    </w:p>
    <w:p w14:paraId="1F42AEBC" w14:textId="14A2FE1C" w:rsidR="002C02FF" w:rsidRPr="002C02FF" w:rsidRDefault="002C02FF" w:rsidP="002C02F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8506AB"/>
          <w:spacing w:val="3"/>
          <w:sz w:val="24"/>
          <w:szCs w:val="24"/>
          <w:lang w:eastAsia="ru-RU"/>
        </w:rPr>
      </w:pPr>
      <w:r w:rsidRPr="002C02FF">
        <w:rPr>
          <w:rFonts w:ascii="Roboto" w:eastAsia="Times New Roman" w:hAnsi="Roboto" w:cs="Times New Roman"/>
          <w:b/>
          <w:bCs/>
          <w:i/>
          <w:iCs/>
          <w:noProof/>
          <w:color w:val="8506AB"/>
          <w:spacing w:val="5"/>
          <w:sz w:val="24"/>
          <w:szCs w:val="24"/>
          <w:lang w:eastAsia="ru-RU"/>
        </w:rPr>
        <w:drawing>
          <wp:inline distT="0" distB="0" distL="0" distR="0" wp14:anchorId="25CC5C9E" wp14:editId="2BB9DEBF">
            <wp:extent cx="2857500" cy="1714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625F3" w14:textId="77777777" w:rsidR="002C02FF" w:rsidRPr="002C02FF" w:rsidRDefault="002C02FF" w:rsidP="002C02F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8506AB"/>
          <w:spacing w:val="3"/>
          <w:sz w:val="24"/>
          <w:szCs w:val="24"/>
          <w:lang w:eastAsia="ru-RU"/>
        </w:rPr>
      </w:pPr>
      <w:r w:rsidRPr="002C02FF">
        <w:rPr>
          <w:rFonts w:ascii="Roboto" w:eastAsia="Times New Roman" w:hAnsi="Roboto" w:cs="Times New Roman"/>
          <w:color w:val="8506AB"/>
          <w:spacing w:val="3"/>
          <w:sz w:val="24"/>
          <w:szCs w:val="24"/>
          <w:lang w:eastAsia="ru-RU"/>
        </w:rPr>
        <w:t> </w:t>
      </w:r>
    </w:p>
    <w:p w14:paraId="245AC929" w14:textId="77777777" w:rsidR="002C02FF" w:rsidRPr="002C02FF" w:rsidRDefault="002C02FF" w:rsidP="002C02F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8506AB"/>
          <w:spacing w:val="3"/>
          <w:sz w:val="24"/>
          <w:szCs w:val="24"/>
          <w:lang w:eastAsia="ru-RU"/>
        </w:rPr>
      </w:pPr>
      <w:r w:rsidRPr="002C02FF">
        <w:rPr>
          <w:rFonts w:ascii="Roboto" w:eastAsia="Times New Roman" w:hAnsi="Roboto" w:cs="Times New Roman"/>
          <w:color w:val="8506AB"/>
          <w:spacing w:val="3"/>
          <w:sz w:val="24"/>
          <w:szCs w:val="24"/>
          <w:lang w:eastAsia="ru-RU"/>
        </w:rPr>
        <w:t> </w:t>
      </w:r>
    </w:p>
    <w:p w14:paraId="49E3FF03" w14:textId="77777777" w:rsidR="002C02FF" w:rsidRPr="002C02FF" w:rsidRDefault="002C02FF" w:rsidP="002C02F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8506AB"/>
          <w:spacing w:val="3"/>
          <w:sz w:val="24"/>
          <w:szCs w:val="24"/>
          <w:lang w:eastAsia="ru-RU"/>
        </w:rPr>
      </w:pPr>
      <w:r w:rsidRPr="002C02FF">
        <w:rPr>
          <w:rFonts w:ascii="Roboto" w:eastAsia="Times New Roman" w:hAnsi="Roboto" w:cs="Times New Roman"/>
          <w:color w:val="8506AB"/>
          <w:spacing w:val="3"/>
          <w:sz w:val="24"/>
          <w:szCs w:val="24"/>
          <w:lang w:eastAsia="ru-RU"/>
        </w:rPr>
        <w:t> </w:t>
      </w:r>
    </w:p>
    <w:p w14:paraId="4ABAFD1E" w14:textId="77777777" w:rsidR="002C02FF" w:rsidRPr="002C02FF" w:rsidRDefault="002C02FF" w:rsidP="002C02F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8506AB"/>
          <w:spacing w:val="3"/>
          <w:sz w:val="24"/>
          <w:szCs w:val="24"/>
          <w:lang w:eastAsia="ru-RU"/>
        </w:rPr>
      </w:pPr>
      <w:r w:rsidRPr="002C02FF">
        <w:rPr>
          <w:rFonts w:ascii="Roboto" w:eastAsia="Times New Roman" w:hAnsi="Roboto" w:cs="Times New Roman"/>
          <w:b/>
          <w:bCs/>
          <w:color w:val="8506AB"/>
          <w:spacing w:val="3"/>
          <w:sz w:val="24"/>
          <w:szCs w:val="24"/>
          <w:lang w:eastAsia="ru-RU"/>
        </w:rPr>
        <w:t>С уважением,</w:t>
      </w:r>
    </w:p>
    <w:p w14:paraId="028D3860" w14:textId="77777777" w:rsidR="002C02FF" w:rsidRPr="002C02FF" w:rsidRDefault="002C02FF" w:rsidP="002C02F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8506AB"/>
          <w:spacing w:val="3"/>
          <w:sz w:val="24"/>
          <w:szCs w:val="24"/>
          <w:lang w:eastAsia="ru-RU"/>
        </w:rPr>
      </w:pPr>
      <w:r w:rsidRPr="002C02FF">
        <w:rPr>
          <w:rFonts w:ascii="Roboto" w:eastAsia="Times New Roman" w:hAnsi="Roboto" w:cs="Times New Roman"/>
          <w:b/>
          <w:bCs/>
          <w:color w:val="8506AB"/>
          <w:spacing w:val="3"/>
          <w:sz w:val="24"/>
          <w:szCs w:val="24"/>
          <w:lang w:eastAsia="ru-RU"/>
        </w:rPr>
        <w:t>Исполнительный директор                                           </w:t>
      </w:r>
      <w:proofErr w:type="spellStart"/>
      <w:r w:rsidRPr="002C02FF">
        <w:rPr>
          <w:rFonts w:ascii="Roboto" w:eastAsia="Times New Roman" w:hAnsi="Roboto" w:cs="Times New Roman"/>
          <w:b/>
          <w:bCs/>
          <w:color w:val="8506AB"/>
          <w:spacing w:val="3"/>
          <w:sz w:val="24"/>
          <w:szCs w:val="24"/>
          <w:lang w:eastAsia="ru-RU"/>
        </w:rPr>
        <w:t>Кадырбек</w:t>
      </w:r>
      <w:proofErr w:type="spellEnd"/>
      <w:r w:rsidRPr="002C02FF">
        <w:rPr>
          <w:rFonts w:ascii="Roboto" w:eastAsia="Times New Roman" w:hAnsi="Roboto" w:cs="Times New Roman"/>
          <w:b/>
          <w:bCs/>
          <w:color w:val="8506AB"/>
          <w:spacing w:val="3"/>
          <w:sz w:val="24"/>
          <w:szCs w:val="24"/>
          <w:lang w:eastAsia="ru-RU"/>
        </w:rPr>
        <w:t xml:space="preserve"> </w:t>
      </w:r>
      <w:proofErr w:type="spellStart"/>
      <w:r w:rsidRPr="002C02FF">
        <w:rPr>
          <w:rFonts w:ascii="Roboto" w:eastAsia="Times New Roman" w:hAnsi="Roboto" w:cs="Times New Roman"/>
          <w:b/>
          <w:bCs/>
          <w:color w:val="8506AB"/>
          <w:spacing w:val="3"/>
          <w:sz w:val="24"/>
          <w:szCs w:val="24"/>
          <w:lang w:eastAsia="ru-RU"/>
        </w:rPr>
        <w:t>Букуев</w:t>
      </w:r>
      <w:proofErr w:type="spellEnd"/>
    </w:p>
    <w:p w14:paraId="7EB8717F" w14:textId="77777777" w:rsidR="002C02FF" w:rsidRPr="002C02FF" w:rsidRDefault="002C02FF" w:rsidP="002C02F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8506AB"/>
          <w:spacing w:val="3"/>
          <w:sz w:val="24"/>
          <w:szCs w:val="24"/>
          <w:lang w:eastAsia="ru-RU"/>
        </w:rPr>
      </w:pPr>
      <w:r w:rsidRPr="002C02FF">
        <w:rPr>
          <w:rFonts w:ascii="Roboto" w:eastAsia="Times New Roman" w:hAnsi="Roboto" w:cs="Times New Roman"/>
          <w:color w:val="8506AB"/>
          <w:spacing w:val="3"/>
          <w:sz w:val="24"/>
          <w:szCs w:val="24"/>
          <w:lang w:eastAsia="ru-RU"/>
        </w:rPr>
        <w:t> </w:t>
      </w:r>
    </w:p>
    <w:p w14:paraId="04E6FEF1" w14:textId="77777777" w:rsidR="002C02FF" w:rsidRPr="002C02FF" w:rsidRDefault="002C02FF" w:rsidP="002C02F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8506AB"/>
          <w:spacing w:val="3"/>
          <w:sz w:val="24"/>
          <w:szCs w:val="24"/>
          <w:lang w:eastAsia="ru-RU"/>
        </w:rPr>
      </w:pPr>
      <w:r w:rsidRPr="002C02FF">
        <w:rPr>
          <w:rFonts w:ascii="Roboto" w:eastAsia="Times New Roman" w:hAnsi="Roboto" w:cs="Times New Roman"/>
          <w:color w:val="8506AB"/>
          <w:spacing w:val="3"/>
          <w:sz w:val="24"/>
          <w:szCs w:val="24"/>
          <w:lang w:eastAsia="ru-RU"/>
        </w:rPr>
        <w:t> </w:t>
      </w:r>
    </w:p>
    <w:p w14:paraId="2CCF1A06" w14:textId="77777777" w:rsidR="002C02FF" w:rsidRPr="002C02FF" w:rsidRDefault="002C02FF" w:rsidP="002C02F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8506AB"/>
          <w:spacing w:val="3"/>
          <w:sz w:val="24"/>
          <w:szCs w:val="24"/>
          <w:lang w:eastAsia="ru-RU"/>
        </w:rPr>
      </w:pPr>
      <w:r w:rsidRPr="002C02FF">
        <w:rPr>
          <w:rFonts w:ascii="Roboto" w:eastAsia="Times New Roman" w:hAnsi="Roboto" w:cs="Times New Roman"/>
          <w:color w:val="8506AB"/>
          <w:spacing w:val="3"/>
          <w:sz w:val="24"/>
          <w:szCs w:val="24"/>
          <w:lang w:eastAsia="ru-RU"/>
        </w:rPr>
        <w:t> </w:t>
      </w:r>
    </w:p>
    <w:p w14:paraId="2026340B" w14:textId="77777777" w:rsidR="002C02FF" w:rsidRPr="002C02FF" w:rsidRDefault="002C02FF" w:rsidP="002C02FF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8506AB"/>
          <w:spacing w:val="3"/>
          <w:sz w:val="24"/>
          <w:szCs w:val="24"/>
          <w:lang w:eastAsia="ru-RU"/>
        </w:rPr>
      </w:pPr>
      <w:hyperlink r:id="rId6" w:history="1">
        <w:r w:rsidRPr="002C02FF">
          <w:rPr>
            <w:rFonts w:ascii="Roboto" w:eastAsia="Times New Roman" w:hAnsi="Roboto" w:cs="Times New Roman"/>
            <w:b/>
            <w:bCs/>
            <w:color w:val="3366FF"/>
            <w:spacing w:val="3"/>
            <w:sz w:val="24"/>
            <w:szCs w:val="24"/>
            <w:u w:val="single"/>
            <w:lang w:eastAsia="ru-RU"/>
          </w:rPr>
          <w:t>СКАЧАТЬ Годовой отчет 2022г.</w:t>
        </w:r>
      </w:hyperlink>
    </w:p>
    <w:p w14:paraId="5CD7F512" w14:textId="77777777" w:rsidR="0009441D" w:rsidRDefault="0009441D"/>
    <w:sectPr w:rsidR="0009441D" w:rsidSect="002C02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2FF"/>
    <w:rsid w:val="0009441D"/>
    <w:rsid w:val="002C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770BB"/>
  <w15:chartTrackingRefBased/>
  <w15:docId w15:val="{04A26926-CCF3-4D1F-B5A3-837C9CFA2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02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C02F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C0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02FF"/>
    <w:rPr>
      <w:b/>
      <w:bCs/>
    </w:rPr>
  </w:style>
  <w:style w:type="character" w:styleId="a5">
    <w:name w:val="Emphasis"/>
    <w:basedOn w:val="a0"/>
    <w:uiPriority w:val="20"/>
    <w:qFormat/>
    <w:rsid w:val="002C02FF"/>
    <w:rPr>
      <w:i/>
      <w:iCs/>
    </w:rPr>
  </w:style>
  <w:style w:type="character" w:styleId="a6">
    <w:name w:val="Hyperlink"/>
    <w:basedOn w:val="a0"/>
    <w:uiPriority w:val="99"/>
    <w:semiHidden/>
    <w:unhideWhenUsed/>
    <w:rsid w:val="002C02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2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old.deposit.kg/wp-content/uploads/2023/04/%D0%93%D0%BE%D0%B4%D0%BE%D0%B2%D0%BE%D0%B9-%D0%BE%D1%82%D1%87%D0%B5%D1%82-%D0%90%D0%97%D0%94-%D0%9A%D0%A0-%D0%B7%D0%B0-2022%D0%B3%D0%BE%D0%B4-1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5D6AB-88BB-4F6F-B30B-FBB687D48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2509</Characters>
  <Application>Microsoft Office Word</Application>
  <DocSecurity>0</DocSecurity>
  <Lines>20</Lines>
  <Paragraphs>5</Paragraphs>
  <ScaleCrop>false</ScaleCrop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Bakay</dc:creator>
  <cp:keywords/>
  <dc:description/>
  <cp:lastModifiedBy>Bakay</cp:lastModifiedBy>
  <cp:revision>1</cp:revision>
  <dcterms:created xsi:type="dcterms:W3CDTF">2026-01-08T15:01:00Z</dcterms:created>
  <dcterms:modified xsi:type="dcterms:W3CDTF">2026-01-08T15:03:00Z</dcterms:modified>
</cp:coreProperties>
</file>