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0AAA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ОТЧЕТ</w:t>
      </w:r>
    </w:p>
    <w:p w14:paraId="318D0A94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о деятельности Агентства по защите депозитов</w:t>
      </w:r>
    </w:p>
    <w:p w14:paraId="0ADB9C1F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Кыргызской Республики</w:t>
      </w:r>
    </w:p>
    <w:p w14:paraId="26010843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за 2019 год</w:t>
      </w:r>
    </w:p>
    <w:p w14:paraId="10A6B242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Годовой отчет Агентства по защите депозитов Кыргызской Республики подготовлен в соответствии со статьей 40 Закона  Кыргызской Республики «О защите банковских вкладов (депозитов)».</w:t>
      </w:r>
    </w:p>
    <w:p w14:paraId="66113F21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Годовой отчет за 2019 год утвержден постановлением Совета директоров Агентства по защите депозитов Кыргызской Республики от 20 мая 2020 года №4.</w:t>
      </w:r>
    </w:p>
    <w:p w14:paraId="3EAFB4D2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Финансовая отчетность по состоянию на 31 декабря 2019 года подтверждена заключением независимой аудиторской  компании ЗАО АКФ «</w:t>
      </w:r>
      <w:proofErr w:type="spellStart"/>
      <w:r>
        <w:rPr>
          <w:rFonts w:ascii="Arial" w:hAnsi="Arial" w:cs="Arial"/>
          <w:color w:val="000000"/>
          <w:spacing w:val="3"/>
        </w:rPr>
        <w:t>Кыргызаудит</w:t>
      </w:r>
      <w:proofErr w:type="spellEnd"/>
      <w:r>
        <w:rPr>
          <w:rFonts w:ascii="Arial" w:hAnsi="Arial" w:cs="Arial"/>
          <w:color w:val="000000"/>
          <w:spacing w:val="3"/>
        </w:rPr>
        <w:t>»  28 февраля 2020 года.</w:t>
      </w:r>
    </w:p>
    <w:p w14:paraId="75B8C257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По всем вопросам, связанным с содержанием и распространением публикации, можно обратиться по адресу:  город Бишкек, ул. Московская, 190, 1 этаж, Агентство по защите депозитов  Кыргызской Республики.</w:t>
      </w:r>
    </w:p>
    <w:p w14:paraId="4C046C94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телефон: (+996 312) 456-456 доп. 106</w:t>
      </w:r>
    </w:p>
    <w:p w14:paraId="60C65609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факс: (+996 312) 455-527</w:t>
      </w:r>
    </w:p>
    <w:p w14:paraId="33DF832B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электронная почта: deposit@old.deposit.kg</w:t>
      </w:r>
    </w:p>
    <w:p w14:paraId="20B7D1AE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веб-сайт: http//old.deposit.kg</w:t>
      </w:r>
    </w:p>
    <w:p w14:paraId="46F3B782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</w:t>
      </w:r>
    </w:p>
    <w:p w14:paraId="0ED3D204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</w:t>
      </w:r>
    </w:p>
    <w:p w14:paraId="6F2CAA7C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</w:t>
      </w:r>
    </w:p>
    <w:p w14:paraId="1F953862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—————————————————————————————- </w:t>
      </w:r>
    </w:p>
    <w:p w14:paraId="3AA0B948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</w:t>
      </w:r>
    </w:p>
    <w:p w14:paraId="42F0C30B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СОДЕРЖАНИЕ                                                                                                </w:t>
      </w:r>
    </w:p>
    <w:p w14:paraId="29774634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 </w:t>
      </w:r>
    </w:p>
    <w:p w14:paraId="5FCCFE1F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Обращение руководства Агентства 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pacing w:val="3"/>
        </w:rPr>
        <w:t>4</w:t>
      </w:r>
    </w:p>
    <w:p w14:paraId="563DE52B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Глава 1.</w:t>
      </w:r>
      <w:r>
        <w:rPr>
          <w:rFonts w:ascii="Arial" w:hAnsi="Arial" w:cs="Arial"/>
          <w:color w:val="000000"/>
          <w:spacing w:val="3"/>
        </w:rPr>
        <w:t> </w:t>
      </w:r>
      <w:r>
        <w:rPr>
          <w:rStyle w:val="a4"/>
          <w:rFonts w:ascii="Arial" w:hAnsi="Arial" w:cs="Arial"/>
          <w:color w:val="000000"/>
          <w:spacing w:val="3"/>
        </w:rPr>
        <w:t>Общие сведения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pacing w:val="3"/>
        </w:rPr>
        <w:t>6</w:t>
      </w:r>
    </w:p>
    <w:p w14:paraId="1F8D90C5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1.1. Об Агентстве, его мандате, задачах и функциях</w:t>
      </w:r>
      <w:r>
        <w:rPr>
          <w:rStyle w:val="a4"/>
          <w:rFonts w:ascii="Arial" w:hAnsi="Arial" w:cs="Arial"/>
          <w:color w:val="000000"/>
          <w:spacing w:val="3"/>
        </w:rPr>
        <w:t>                                          </w:t>
      </w:r>
      <w:r>
        <w:rPr>
          <w:rFonts w:ascii="Arial" w:hAnsi="Arial" w:cs="Arial"/>
          <w:color w:val="000000"/>
          <w:spacing w:val="3"/>
        </w:rPr>
        <w:t>6</w:t>
      </w:r>
    </w:p>
    <w:p w14:paraId="14F7897F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1.2. Правовая база системы защиты депозитов                                                   8</w:t>
      </w:r>
    </w:p>
    <w:p w14:paraId="77627BE4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Глава 2</w:t>
      </w:r>
      <w:r>
        <w:rPr>
          <w:rFonts w:ascii="Arial" w:hAnsi="Arial" w:cs="Arial"/>
          <w:color w:val="000000"/>
          <w:spacing w:val="3"/>
        </w:rPr>
        <w:t>. </w:t>
      </w:r>
      <w:r>
        <w:rPr>
          <w:rStyle w:val="a4"/>
          <w:rFonts w:ascii="Arial" w:hAnsi="Arial" w:cs="Arial"/>
          <w:color w:val="000000"/>
          <w:spacing w:val="3"/>
        </w:rPr>
        <w:t>Обзор банковского сектора Кыргызской Республики    </w:t>
      </w:r>
      <w:r>
        <w:rPr>
          <w:rFonts w:ascii="Arial" w:hAnsi="Arial" w:cs="Arial"/>
          <w:color w:val="000000"/>
          <w:spacing w:val="3"/>
        </w:rPr>
        <w:t>10</w:t>
      </w:r>
    </w:p>
    <w:p w14:paraId="1837C0DB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2.1. Динамика депозитной базы                                                                          10</w:t>
      </w:r>
    </w:p>
    <w:p w14:paraId="2DEE621C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2.2. Гарантированные депозиты                                                                         12</w:t>
      </w:r>
    </w:p>
    <w:p w14:paraId="2D3689C4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2.3. Реестр банков-участников системы защиты депозитов                            15</w:t>
      </w:r>
    </w:p>
    <w:p w14:paraId="204FE385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Глава 3.</w:t>
      </w:r>
      <w:r>
        <w:rPr>
          <w:rFonts w:ascii="Arial" w:hAnsi="Arial" w:cs="Arial"/>
          <w:color w:val="000000"/>
          <w:spacing w:val="3"/>
        </w:rPr>
        <w:t> </w:t>
      </w:r>
      <w:r>
        <w:rPr>
          <w:rStyle w:val="a4"/>
          <w:rFonts w:ascii="Arial" w:hAnsi="Arial" w:cs="Arial"/>
          <w:color w:val="000000"/>
          <w:spacing w:val="3"/>
        </w:rPr>
        <w:t>Фонд защиты депозитов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pacing w:val="3"/>
        </w:rPr>
        <w:t>17</w:t>
      </w:r>
    </w:p>
    <w:p w14:paraId="33D82B73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3.1. Динамика формирования Фонда защиты депозитов                                       17</w:t>
      </w:r>
    </w:p>
    <w:p w14:paraId="0707B538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3.2. Управление активами Фонда защиты депозитов                                         19</w:t>
      </w:r>
    </w:p>
    <w:p w14:paraId="4DBFE209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Глава 4.</w:t>
      </w:r>
      <w:r>
        <w:rPr>
          <w:rFonts w:ascii="Arial" w:hAnsi="Arial" w:cs="Arial"/>
          <w:color w:val="000000"/>
          <w:spacing w:val="3"/>
        </w:rPr>
        <w:t> </w:t>
      </w:r>
      <w:r>
        <w:rPr>
          <w:rStyle w:val="a4"/>
          <w:rFonts w:ascii="Arial" w:hAnsi="Arial" w:cs="Arial"/>
          <w:color w:val="000000"/>
          <w:spacing w:val="3"/>
        </w:rPr>
        <w:t>Выплата компенсаций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pacing w:val="3"/>
        </w:rPr>
        <w:t>21</w:t>
      </w:r>
    </w:p>
    <w:p w14:paraId="554F520E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4.1. Выплаты компенсаций вкладчикам банков-банкротов</w:t>
      </w:r>
      <w:r>
        <w:rPr>
          <w:rStyle w:val="a4"/>
          <w:rFonts w:ascii="Arial" w:hAnsi="Arial" w:cs="Arial"/>
          <w:color w:val="000000"/>
          <w:spacing w:val="3"/>
        </w:rPr>
        <w:t>                                </w:t>
      </w:r>
      <w:r>
        <w:rPr>
          <w:rFonts w:ascii="Arial" w:hAnsi="Arial" w:cs="Arial"/>
          <w:color w:val="000000"/>
          <w:spacing w:val="3"/>
        </w:rPr>
        <w:t>21</w:t>
      </w:r>
    </w:p>
    <w:p w14:paraId="5F0BB44E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4.2. Порядок выплат компенсаций вкладчикам при наступлении</w:t>
      </w:r>
    </w:p>
    <w:p w14:paraId="5F1110A4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гарантийного случая                                                                                                 21</w:t>
      </w:r>
    </w:p>
    <w:p w14:paraId="2CB84A88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Глава 5.</w:t>
      </w:r>
      <w:r>
        <w:rPr>
          <w:rFonts w:ascii="Arial" w:hAnsi="Arial" w:cs="Arial"/>
          <w:color w:val="000000"/>
          <w:spacing w:val="3"/>
        </w:rPr>
        <w:t> </w:t>
      </w:r>
      <w:r>
        <w:rPr>
          <w:rStyle w:val="a4"/>
          <w:rFonts w:ascii="Arial" w:hAnsi="Arial" w:cs="Arial"/>
          <w:color w:val="000000"/>
          <w:spacing w:val="3"/>
        </w:rPr>
        <w:t>Международное сотрудничество и</w:t>
      </w:r>
    </w:p>
    <w:p w14:paraId="35100CE9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информирование общественности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pacing w:val="3"/>
        </w:rPr>
        <w:t>23</w:t>
      </w:r>
    </w:p>
    <w:p w14:paraId="43CC27C0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5.1. Международное сотрудничество                                                                 23</w:t>
      </w:r>
    </w:p>
    <w:p w14:paraId="0A1DDA2D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5.2. Информирование общественности                                                               24</w:t>
      </w:r>
    </w:p>
    <w:p w14:paraId="3647B9A1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Глава 6. Обеспечение эффективного управления Агентством                     </w:t>
      </w:r>
      <w:r>
        <w:rPr>
          <w:rFonts w:ascii="Arial" w:hAnsi="Arial" w:cs="Arial"/>
          <w:color w:val="000000"/>
          <w:spacing w:val="3"/>
        </w:rPr>
        <w:t>26</w:t>
      </w:r>
    </w:p>
    <w:p w14:paraId="78A921B0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6.1. Корпоративное управление                                                                          26</w:t>
      </w:r>
    </w:p>
    <w:p w14:paraId="0B7E52BA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6.2. Реализация стратегии развития                                                                    27</w:t>
      </w:r>
    </w:p>
    <w:p w14:paraId="083871BB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6.3. Управление персоналом                                                                               28</w:t>
      </w:r>
    </w:p>
    <w:p w14:paraId="786FC356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6.4. Управление рисками                                                                                     29</w:t>
      </w:r>
    </w:p>
    <w:p w14:paraId="72A5A11E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6.5. Аудит                                                                                                                  30</w:t>
      </w:r>
    </w:p>
    <w:p w14:paraId="5722E4DF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Глава 7.</w:t>
      </w:r>
      <w:r>
        <w:rPr>
          <w:rFonts w:ascii="Arial" w:hAnsi="Arial" w:cs="Arial"/>
          <w:color w:val="000000"/>
          <w:spacing w:val="3"/>
        </w:rPr>
        <w:t> </w:t>
      </w:r>
      <w:r>
        <w:rPr>
          <w:rStyle w:val="a4"/>
          <w:rFonts w:ascii="Arial" w:hAnsi="Arial" w:cs="Arial"/>
          <w:color w:val="000000"/>
          <w:spacing w:val="3"/>
        </w:rPr>
        <w:t>Финансовая отчетность и заключение внешнего аудитора           </w:t>
      </w:r>
      <w:r>
        <w:rPr>
          <w:rFonts w:ascii="Arial" w:hAnsi="Arial" w:cs="Arial"/>
          <w:color w:val="000000"/>
          <w:spacing w:val="3"/>
        </w:rPr>
        <w:t>31</w:t>
      </w:r>
    </w:p>
    <w:p w14:paraId="70B32B48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7.1. Отчет о финансовом положении                                                                     31</w:t>
      </w:r>
    </w:p>
    <w:p w14:paraId="2490550E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7.2. Отчет о совокупном доходе                                                                         32</w:t>
      </w:r>
    </w:p>
    <w:p w14:paraId="501BC324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7.3. Отчет об изменениях в Фонде защиты депозитов                                        32</w:t>
      </w:r>
    </w:p>
    <w:p w14:paraId="541A19BD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7.4. Отчет о движении денежных средств                                                           33</w:t>
      </w:r>
    </w:p>
    <w:p w14:paraId="085A4373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7.5. Заключение независимой аудиторской компании                                       34</w:t>
      </w:r>
    </w:p>
    <w:p w14:paraId="09DA59D0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lastRenderedPageBreak/>
        <w:t> —————————————————————————————</w:t>
      </w:r>
    </w:p>
    <w:p w14:paraId="18B43B89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Обращение руководства</w:t>
      </w:r>
    </w:p>
    <w:p w14:paraId="555CA85F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Агентства по защите депозитов Кыргызской Республики</w:t>
      </w:r>
    </w:p>
    <w:p w14:paraId="5EB427CA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                               </w:t>
      </w:r>
    </w:p>
    <w:p w14:paraId="40676413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       Уважаемые читатели!</w:t>
      </w:r>
    </w:p>
    <w:p w14:paraId="5976F1C3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Представляем Вашему вниманию годовой отчет Агентства по защите депозитов Кыргызской Республики (далее – Агентство) за 2019 год, который отражает деятельность Агентства и охват системой защиты депозитов, составленный в соответствии с требованиями Закона Кыргызской Республики «О защите банковских вкладов (депозитов)».</w:t>
      </w:r>
    </w:p>
    <w:p w14:paraId="43259CE8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2019 году были внесены и вступили в действие изменения в Закон «О защите банковских вкладов (депозитов)» (далее-Закон) в части включения в систему защиты депозитов микрофинансовых компаний и жилищно-сберегательных кредитных компаний, имеющих соответствующую лицензию Национального банка Кыргызской Республики на привлечение депозитов. Агентством осуществлена работа по приведению нормативных правых актов в соответствие с указанными изменениями в Закон.</w:t>
      </w:r>
    </w:p>
    <w:p w14:paraId="15014CAC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отчетном году Агентство осуществляло работу по обеспечению финансовой устойчивости через управление средствами фонда защиты депозитов (ФЗД) и поддержанию достаточной ликвидности. Агентство также проводило мероприятия по повышению осведомленности общественности о системе защиты депозитов (СЗД), включая социологическое исследование об уровне осведомленности населения, а также осуществляло сотрудничество с международными организациями и донорами.</w:t>
      </w:r>
    </w:p>
    <w:p w14:paraId="6DE71489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рамках реализации Указа Президента Кыргызской Республики «Об объявлении 2019 года – Годом развития регионов и цифровизации» были организованы общественные лекции и семинары в регионах республики, целью которых было информирование населения о системе защиты депозитов, роли и деятельности Агентства.</w:t>
      </w:r>
    </w:p>
    <w:p w14:paraId="550BB27F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отчетном году в целях дальнейшей автоматизации бизнес-процессов Агентства приобретено и установлено новое серверное оборудование, а также дорабатывался программный продукт «Информационно-аналитическая система» с учётом изменений в Закон Кыргызской Республики «О защите банковских вкладов (депозитов)» в частности по добавлению новых участников в систему защиты депозитов — микрофинансовых компаний и жилищно-сберегательных кредитных компаний</w:t>
      </w:r>
    </w:p>
    <w:p w14:paraId="3CCB8D2D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2019 году в республике не было гарантийных случаев для выплаты компенсаций по депозитам.</w:t>
      </w:r>
    </w:p>
    <w:p w14:paraId="67F3C56C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Резюмируя, можно констатировать, что в течение отчетного года Агентством проводились меры по дальнейшему усилению практики корпоративного управления, совершенствованию процедур внутреннего взаимодействия, развитию автоматизированного процесса хранения и обработки данных, в том </w:t>
      </w:r>
      <w:r>
        <w:rPr>
          <w:rFonts w:ascii="Arial" w:hAnsi="Arial" w:cs="Arial"/>
          <w:color w:val="000000"/>
          <w:spacing w:val="3"/>
        </w:rPr>
        <w:lastRenderedPageBreak/>
        <w:t>числе для новых участников СЗД в форме микрофинансовых компаний и жилищно-сберегательных кредитных компаний.</w:t>
      </w:r>
    </w:p>
    <w:p w14:paraId="0DE9A46B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Устойчивая динамика ежегодного прироста депозитов вкладчиков, а также рост Фонда защиты депозитов для обеспечения гарантирования вкладов, демонстрируют, что система защиты депозитов, на сегодняшний день, является одним из важных институтов финансово-кредитной системы и повышения доверия населения к финансово-кредитным учреждениям, а также содействует стабильности финансовой системы в целом.</w:t>
      </w:r>
    </w:p>
    <w:p w14:paraId="57554ABA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 </w:t>
      </w:r>
    </w:p>
    <w:p w14:paraId="7E20A1B3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С уважением,                                             С наилучшими пожеланиями,</w:t>
      </w:r>
    </w:p>
    <w:p w14:paraId="44E851F4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      Председатель Совета директоров                          Исполнительный директор</w:t>
      </w:r>
    </w:p>
    <w:p w14:paraId="1F9CD648" w14:textId="77777777" w:rsidR="00047C0E" w:rsidRDefault="00047C0E" w:rsidP="00047C0E">
      <w:pPr>
        <w:pStyle w:val="a3"/>
        <w:shd w:val="clear" w:color="auto" w:fill="FFFFFF"/>
        <w:spacing w:before="0" w:beforeAutospacing="0" w:after="252" w:afterAutospacing="0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Роза  АКНАЗАРОВА                                               </w:t>
      </w:r>
      <w:proofErr w:type="spellStart"/>
      <w:r>
        <w:rPr>
          <w:rStyle w:val="a4"/>
          <w:rFonts w:ascii="Arial" w:hAnsi="Arial" w:cs="Arial"/>
          <w:color w:val="000000"/>
          <w:spacing w:val="3"/>
        </w:rPr>
        <w:t>Эркебай</w:t>
      </w:r>
      <w:proofErr w:type="spellEnd"/>
      <w:r>
        <w:rPr>
          <w:rStyle w:val="a4"/>
          <w:rFonts w:ascii="Arial" w:hAnsi="Arial" w:cs="Arial"/>
          <w:color w:val="000000"/>
          <w:spacing w:val="3"/>
        </w:rPr>
        <w:t>   МУРЗАБЕКОВ</w:t>
      </w:r>
    </w:p>
    <w:p w14:paraId="2380CE85" w14:textId="77777777" w:rsidR="00FC3295" w:rsidRDefault="00FC3295"/>
    <w:sectPr w:rsidR="00FC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0E"/>
    <w:rsid w:val="00047C0E"/>
    <w:rsid w:val="00490E86"/>
    <w:rsid w:val="00651E4F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2165"/>
  <w15:chartTrackingRefBased/>
  <w15:docId w15:val="{A961CF65-4B7E-4616-BE2F-6CDE39A0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2026-01-08T15:13:00Z</dcterms:created>
  <dcterms:modified xsi:type="dcterms:W3CDTF">2026-01-08T15:13:00Z</dcterms:modified>
</cp:coreProperties>
</file>