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3E0D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334B508A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410"/>
        <w:gridCol w:w="1843"/>
      </w:tblGrid>
      <w:tr w:rsidR="005E2B1F" w:rsidRPr="005E2B1F" w14:paraId="3619AF1D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5D937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EF84E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C9E31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67C451A0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5FC98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C1DE6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7F253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1A1504ED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7C575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308EB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E0973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5E2B1F" w:rsidRPr="005E2B1F" w14:paraId="7F62F594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6AAE92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B7F2E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EE55E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5E2B1F" w:rsidRPr="005E2B1F" w14:paraId="79DC0C47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742D7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01346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451FA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5E2B1F" w:rsidRPr="005E2B1F" w14:paraId="09D1CD72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CFEBF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9D2DD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F45E4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5E2B1F" w:rsidRPr="005E2B1F" w14:paraId="65268401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C3475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95700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F8CEE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5E2B1F" w:rsidRPr="005E2B1F" w14:paraId="29503F70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A2FF9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342CE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AB8D1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5E2B1F" w:rsidRPr="005E2B1F" w14:paraId="14F8EDFC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9E793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9DF2E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7D38C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5E2B1F" w:rsidRPr="005E2B1F" w14:paraId="1C9B0318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CEAA66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6BDA55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7A3A91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73E1B3D3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D26F7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0BB1A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AA2F34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1D5DEA8D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BC9FD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4D9EA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CC3D72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6B4713D3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FBD62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54439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B2612F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74BACF4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D077FF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982C4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E88EC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5E2B1F" w:rsidRPr="005E2B1F" w14:paraId="004CA8C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AF706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76E91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DA005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5E2B1F" w:rsidRPr="005E2B1F" w14:paraId="2735496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F4C972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E0E66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2F3349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5E2B1F" w:rsidRPr="005E2B1F" w14:paraId="20D14F3A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4E491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55D7A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402B7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5E2B1F" w:rsidRPr="005E2B1F" w14:paraId="115493CA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D91E5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6EBBC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2609D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74B66A92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 </w:t>
      </w:r>
    </w:p>
    <w:p w14:paraId="15235A1A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410"/>
        <w:gridCol w:w="1701"/>
      </w:tblGrid>
      <w:tr w:rsidR="005E2B1F" w:rsidRPr="005E2B1F" w14:paraId="508BF380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44630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98A7C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68CCF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4CF94869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09525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A8891B" w14:textId="77777777" w:rsidR="005E2B1F" w:rsidRPr="005E2B1F" w:rsidRDefault="005E2B1F" w:rsidP="005E2B1F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A09ED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03228D79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5BBC7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Процентные доходы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5AC0C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A37DE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5E2B1F" w:rsidRPr="005E2B1F" w14:paraId="2B507CEA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99FA0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1AAD2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7269C4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5E2B1F" w:rsidRPr="005E2B1F" w14:paraId="4C821EB4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D4E863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E3ED7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19BD5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5E2B1F" w:rsidRPr="005E2B1F" w14:paraId="3744060C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E0C6A5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3166F4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4795A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3FFE7D7B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A8DBE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098CE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6E6AA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5E2B1F" w:rsidRPr="005E2B1F" w14:paraId="4F6035F2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20B86B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4FA77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D7EB0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5E2B1F" w:rsidRPr="005E2B1F" w14:paraId="61AA13B1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026CE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192B5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A09CB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5E2B1F" w:rsidRPr="005E2B1F" w14:paraId="76722CB4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C2520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D0CF0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A1F64A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5E2B1F" w:rsidRPr="005E2B1F" w14:paraId="1BB51137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29DB9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DA26C5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0E112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0C6221C2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B5BA7D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75C00AEC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  </w:t>
      </w:r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[/</w:t>
      </w:r>
      <w:proofErr w:type="spellStart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vc_column_text</w:t>
      </w:r>
      <w:proofErr w:type="spellEnd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][/</w:t>
      </w:r>
      <w:proofErr w:type="spellStart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vc_column</w:t>
      </w:r>
      <w:proofErr w:type="spellEnd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][/</w:t>
      </w:r>
      <w:proofErr w:type="spellStart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vc_row</w:t>
      </w:r>
      <w:proofErr w:type="spellEnd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][:</w:t>
      </w:r>
      <w:proofErr w:type="spellStart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en</w:t>
      </w:r>
      <w:proofErr w:type="spellEnd"/>
      <w:r w:rsidRPr="005E2B1F">
        <w:rPr>
          <w:rFonts w:ascii="Roboto" w:eastAsia="Times New Roman" w:hAnsi="Roboto" w:cs="Times New Roman"/>
          <w:color w:val="FFFFFF"/>
          <w:spacing w:val="15"/>
          <w:sz w:val="24"/>
          <w:szCs w:val="24"/>
          <w:lang w:eastAsia="ru-RU"/>
        </w:rPr>
        <w:t>]</w:t>
      </w:r>
    </w:p>
    <w:p w14:paraId="637004CE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5B754374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552"/>
        <w:gridCol w:w="1842"/>
      </w:tblGrid>
      <w:tr w:rsidR="005E2B1F" w:rsidRPr="005E2B1F" w14:paraId="7317231C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A99334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81187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9480A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16708B8D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AAD0B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16244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7952F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020116C3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A64E13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0E356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2365B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5E2B1F" w:rsidRPr="005E2B1F" w14:paraId="42C5DA69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D2FA32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D55BA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2B1B5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5E2B1F" w:rsidRPr="005E2B1F" w14:paraId="43B0EF4D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58D24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86AE8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E148C2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5E2B1F" w:rsidRPr="005E2B1F" w14:paraId="2355C36A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D938FB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6BF77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02251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5E2B1F" w:rsidRPr="005E2B1F" w14:paraId="0DD8B626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368E1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F6580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9CFE6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5E2B1F" w:rsidRPr="005E2B1F" w14:paraId="39197217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D0858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9F6EF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70312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5E2B1F" w:rsidRPr="005E2B1F" w14:paraId="0C646E02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3AB18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BA35D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B0DEE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5E2B1F" w:rsidRPr="005E2B1F" w14:paraId="0A2EAC47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DD02A5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BB251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8AE98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75348CE7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93E26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61759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E9ECF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336A894C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0E7D9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2F4030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26392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459BD879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21E814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D0F4F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52C6A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576E18FB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CC71B4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32AE6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F597F1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5E2B1F" w:rsidRPr="005E2B1F" w14:paraId="66A7DEDD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C13DD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6EF13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29CCF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5E2B1F" w:rsidRPr="005E2B1F" w14:paraId="676BA1BF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1DAFA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E8A50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101E6A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5E2B1F" w:rsidRPr="005E2B1F" w14:paraId="781EED67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29030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666AA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156DB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5E2B1F" w:rsidRPr="005E2B1F" w14:paraId="1B4D9BCC" w14:textId="77777777" w:rsidTr="005E2B1F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868626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D531DA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E64E1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0B5EAEBD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 </w:t>
      </w:r>
    </w:p>
    <w:p w14:paraId="4A624307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694"/>
        <w:gridCol w:w="1701"/>
      </w:tblGrid>
      <w:tr w:rsidR="005E2B1F" w:rsidRPr="005E2B1F" w14:paraId="2066E239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B2507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C6A94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5992F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026A040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0160E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EE45BF" w14:textId="77777777" w:rsidR="005E2B1F" w:rsidRPr="005E2B1F" w:rsidRDefault="005E2B1F" w:rsidP="005E2B1F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F6781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074FBDA4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29CCE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A56DA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6CFDC2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5E2B1F" w:rsidRPr="005E2B1F" w14:paraId="736B3439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2AFEF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84210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F3AE1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5E2B1F" w:rsidRPr="005E2B1F" w14:paraId="25494FE8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BF568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687C8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7CF82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5E2B1F" w:rsidRPr="005E2B1F" w14:paraId="100768B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8B394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21CD0F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C497F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546D9867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497AAB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F3B675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AB732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5E2B1F" w:rsidRPr="005E2B1F" w14:paraId="43E466F1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7C7D3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DC59A2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676D9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5E2B1F" w:rsidRPr="005E2B1F" w14:paraId="14BBABFA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4DF5A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5D5FA2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EABF5A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5E2B1F" w:rsidRPr="005E2B1F" w14:paraId="3324A0C2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C145D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A1803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C12E9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5E2B1F" w:rsidRPr="005E2B1F" w14:paraId="3A98922E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3806C6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689AA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02699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0A2CB286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C980EA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206380BA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  </w:t>
      </w:r>
      <w:r w:rsidRPr="005E2B1F"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  <w:t>[:KY]</w:t>
      </w:r>
    </w:p>
    <w:p w14:paraId="244E32D1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</w:t>
      </w:r>
    </w:p>
    <w:p w14:paraId="67004E32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Кыргызской Республики по состоянию  на 31 марта 2011 года  (в сомах)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552"/>
        <w:gridCol w:w="1843"/>
      </w:tblGrid>
      <w:tr w:rsidR="005E2B1F" w:rsidRPr="005E2B1F" w14:paraId="37273772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1C4BEF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3DDD0C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A063F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6E1B6B1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86E5E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2ED8CA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3F794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2B84B017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E8E95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4D66A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118 344 752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690F8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7 761 113</w:t>
            </w:r>
          </w:p>
        </w:tc>
      </w:tr>
      <w:tr w:rsidR="005E2B1F" w:rsidRPr="005E2B1F" w14:paraId="711995B3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642F4F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77B214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1 818 067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F794E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1 930 090</w:t>
            </w:r>
          </w:p>
        </w:tc>
      </w:tr>
      <w:tr w:rsidR="005E2B1F" w:rsidRPr="005E2B1F" w14:paraId="377DA67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90DE0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A3737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279 531 753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914E82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377 085 008</w:t>
            </w:r>
          </w:p>
        </w:tc>
      </w:tr>
      <w:tr w:rsidR="005E2B1F" w:rsidRPr="005E2B1F" w14:paraId="6C0D7D11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6924B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EB32EE4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8 865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1ABE9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16 830</w:t>
            </w:r>
          </w:p>
        </w:tc>
      </w:tr>
      <w:tr w:rsidR="005E2B1F" w:rsidRPr="005E2B1F" w14:paraId="04765A58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83DE73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F9C38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234 276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D0205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124 472</w:t>
            </w:r>
          </w:p>
        </w:tc>
      </w:tr>
      <w:tr w:rsidR="005E2B1F" w:rsidRPr="005E2B1F" w14:paraId="25544B0D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B748B2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0C39C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12625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91 800</w:t>
            </w:r>
          </w:p>
        </w:tc>
      </w:tr>
      <w:tr w:rsidR="005E2B1F" w:rsidRPr="005E2B1F" w14:paraId="543B134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CFED3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CC395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C16B3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  <w:tr w:rsidR="005E2B1F" w:rsidRPr="005E2B1F" w14:paraId="67C8DE4E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5FF6D0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8C9035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852AD4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5D4F63F2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0547A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99B78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2310F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2931C13C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BA1102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2B484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446 422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7FA6E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457 375</w:t>
            </w:r>
          </w:p>
        </w:tc>
      </w:tr>
      <w:tr w:rsidR="005E2B1F" w:rsidRPr="005E2B1F" w14:paraId="6792B833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CEEDD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864EA8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8453E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52BC6DA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B1781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58AB9F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BCE57A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257 741 384</w:t>
            </w:r>
          </w:p>
        </w:tc>
      </w:tr>
      <w:tr w:rsidR="005E2B1F" w:rsidRPr="005E2B1F" w14:paraId="70DFD2F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C8AFD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0F6A3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117 335 740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6B351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106 801 640</w:t>
            </w:r>
          </w:p>
        </w:tc>
      </w:tr>
      <w:tr w:rsidR="005E2B1F" w:rsidRPr="005E2B1F" w14:paraId="26B28475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AE6A36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2D70E9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24 505 967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516593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22 008 914</w:t>
            </w:r>
          </w:p>
        </w:tc>
      </w:tr>
      <w:tr w:rsidR="005E2B1F" w:rsidRPr="005E2B1F" w14:paraId="0419D96C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903DF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A709AD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399 583 091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2AE18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386 551 938</w:t>
            </w:r>
          </w:p>
        </w:tc>
      </w:tr>
      <w:tr w:rsidR="005E2B1F" w:rsidRPr="005E2B1F" w14:paraId="4688C290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B6C99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6193E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400 029 513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B7304B7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387 009 313</w:t>
            </w:r>
          </w:p>
        </w:tc>
      </w:tr>
    </w:tbl>
    <w:p w14:paraId="079CDF3D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Отчет о финансовом положении Агентства защиты депозитов </w:t>
      </w:r>
    </w:p>
    <w:p w14:paraId="282CE13B" w14:textId="77777777" w:rsidR="005E2B1F" w:rsidRPr="005E2B1F" w:rsidRDefault="005E2B1F" w:rsidP="005E2B1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Кыргызской Республики по состоянию  на 31 марта 2011 года  (в сомах)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552"/>
        <w:gridCol w:w="1843"/>
      </w:tblGrid>
      <w:tr w:rsidR="005E2B1F" w:rsidRPr="005E2B1F" w14:paraId="2E146B3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C9658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47F43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марта 2011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716AA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31 декабря 2010</w:t>
            </w:r>
          </w:p>
        </w:tc>
      </w:tr>
      <w:tr w:rsidR="005E2B1F" w:rsidRPr="005E2B1F" w14:paraId="2A53CB26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6311AC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A9DFC1" w14:textId="77777777" w:rsidR="005E2B1F" w:rsidRPr="005E2B1F" w:rsidRDefault="005E2B1F" w:rsidP="005E2B1F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F9DB03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644E0B37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A5281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00493C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4 646 043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80649E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16 689 768</w:t>
            </w:r>
          </w:p>
        </w:tc>
      </w:tr>
      <w:tr w:rsidR="005E2B1F" w:rsidRPr="005E2B1F" w14:paraId="0D34154D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113731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7F101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10 283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993286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429</w:t>
            </w:r>
          </w:p>
        </w:tc>
      </w:tr>
      <w:tr w:rsidR="005E2B1F" w:rsidRPr="005E2B1F" w14:paraId="0BD5A96B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221DD8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3D350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4 656 326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27257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16 690 197</w:t>
            </w:r>
          </w:p>
        </w:tc>
      </w:tr>
      <w:tr w:rsidR="005E2B1F" w:rsidRPr="005E2B1F" w14:paraId="3A20CEC3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D11729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723697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A52F9F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 </w:t>
            </w:r>
          </w:p>
        </w:tc>
      </w:tr>
      <w:tr w:rsidR="005E2B1F" w:rsidRPr="005E2B1F" w14:paraId="778E8329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A8ED2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9FA520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1 638 265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8E84E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3 604 809</w:t>
            </w:r>
          </w:p>
        </w:tc>
      </w:tr>
      <w:tr w:rsidR="005E2B1F" w:rsidRPr="005E2B1F" w14:paraId="258BE6F5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4AC0E5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D6D48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515 743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A50A61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1 751 396</w:t>
            </w:r>
          </w:p>
        </w:tc>
      </w:tr>
      <w:tr w:rsidR="005E2B1F" w:rsidRPr="005E2B1F" w14:paraId="419D64B1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2815EE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DE058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5 265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787037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  <w:t>492 058</w:t>
            </w:r>
          </w:p>
        </w:tc>
      </w:tr>
      <w:tr w:rsidR="005E2B1F" w:rsidRPr="005E2B1F" w14:paraId="1058418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2CC06D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DF058B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2 159 273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E46735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5 848 263</w:t>
            </w:r>
          </w:p>
        </w:tc>
      </w:tr>
      <w:tr w:rsidR="005E2B1F" w:rsidRPr="005E2B1F" w14:paraId="7B3CD7BF" w14:textId="77777777" w:rsidTr="005E2B1F">
        <w:tc>
          <w:tcPr>
            <w:tcW w:w="6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4D7D49B" w14:textId="77777777" w:rsidR="005E2B1F" w:rsidRPr="005E2B1F" w:rsidRDefault="005E2B1F" w:rsidP="005E2B1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0406FE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2 497 053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8CF918" w14:textId="77777777" w:rsidR="005E2B1F" w:rsidRPr="005E2B1F" w:rsidRDefault="005E2B1F" w:rsidP="005E2B1F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5E2B1F">
              <w:rPr>
                <w:rFonts w:ascii="Roboto" w:eastAsia="Times New Roman" w:hAnsi="Roboto" w:cs="Times New Roman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10 841 934</w:t>
            </w:r>
          </w:p>
        </w:tc>
      </w:tr>
    </w:tbl>
    <w:p w14:paraId="682DA5E8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42A84C" w14:textId="77777777" w:rsidR="005E2B1F" w:rsidRPr="005E2B1F" w:rsidRDefault="005E2B1F" w:rsidP="005E2B1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Исполнительный директор                                          Касымов Ж.   </w:t>
      </w:r>
    </w:p>
    <w:p w14:paraId="2A3F3E7B" w14:textId="77777777" w:rsidR="005E2B1F" w:rsidRPr="005E2B1F" w:rsidRDefault="005E2B1F" w:rsidP="005E2B1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15"/>
          <w:sz w:val="24"/>
          <w:szCs w:val="24"/>
          <w:lang w:eastAsia="ru-RU"/>
        </w:rPr>
      </w:pPr>
      <w:r w:rsidRPr="005E2B1F">
        <w:rPr>
          <w:rFonts w:ascii="Roboto" w:eastAsia="Times New Roman" w:hAnsi="Roboto" w:cs="Times New Roman"/>
          <w:b/>
          <w:bCs/>
          <w:color w:val="000000"/>
          <w:spacing w:val="15"/>
          <w:sz w:val="24"/>
          <w:szCs w:val="24"/>
          <w:lang w:eastAsia="ru-RU"/>
        </w:rPr>
        <w:t>Финансовый менеджер                                                Карабаева А. </w:t>
      </w:r>
    </w:p>
    <w:p w14:paraId="190F336F" w14:textId="77777777" w:rsidR="00E2753F" w:rsidRDefault="00E2753F"/>
    <w:sectPr w:rsidR="00E2753F" w:rsidSect="005E2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1F"/>
    <w:rsid w:val="00490E86"/>
    <w:rsid w:val="005E2B1F"/>
    <w:rsid w:val="00651E4F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EF6B"/>
  <w15:chartTrackingRefBased/>
  <w15:docId w15:val="{E121D892-CF56-4704-8014-D986D62D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2026-01-08T14:24:00Z</dcterms:created>
  <dcterms:modified xsi:type="dcterms:W3CDTF">2026-01-08T14:28:00Z</dcterms:modified>
</cp:coreProperties>
</file>